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CCE3" w14:textId="27E6ACA2" w:rsidR="00E1636F" w:rsidRPr="0071245C" w:rsidRDefault="00E1636F" w:rsidP="00D15164">
      <w:pPr>
        <w:spacing w:before="225" w:after="113" w:line="240" w:lineRule="auto"/>
        <w:jc w:val="both"/>
        <w:outlineLvl w:val="2"/>
        <w:rPr>
          <w:rFonts w:ascii="Times New Roman" w:eastAsia="Times New Roman" w:hAnsi="Times New Roman" w:cs="Times New Roman"/>
          <w:color w:val="24A7D5"/>
          <w:sz w:val="28"/>
          <w:szCs w:val="28"/>
          <w:lang w:eastAsia="ru-RU"/>
        </w:rPr>
      </w:pPr>
      <w:r w:rsidRPr="0071245C">
        <w:rPr>
          <w:rFonts w:ascii="Times New Roman" w:eastAsia="Times New Roman" w:hAnsi="Times New Roman" w:cs="Times New Roman"/>
          <w:color w:val="24A7D5"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</w:t>
      </w:r>
      <w:r w:rsidR="00867F02">
        <w:rPr>
          <w:rFonts w:ascii="Times New Roman" w:eastAsia="Times New Roman" w:hAnsi="Times New Roman" w:cs="Times New Roman"/>
          <w:color w:val="24A7D5"/>
          <w:sz w:val="28"/>
          <w:szCs w:val="28"/>
          <w:lang w:eastAsia="ru-RU"/>
        </w:rPr>
        <w:t xml:space="preserve"> на 01.01.2024 год</w:t>
      </w:r>
      <w:r w:rsidRPr="0071245C">
        <w:rPr>
          <w:rFonts w:ascii="Times New Roman" w:eastAsia="Times New Roman" w:hAnsi="Times New Roman" w:cs="Times New Roman"/>
          <w:color w:val="24A7D5"/>
          <w:sz w:val="28"/>
          <w:szCs w:val="28"/>
          <w:lang w:eastAsia="ru-RU"/>
        </w:rPr>
        <w:t>:</w:t>
      </w:r>
    </w:p>
    <w:p w14:paraId="2497F895" w14:textId="77777777" w:rsidR="00477672" w:rsidRPr="0071245C" w:rsidRDefault="00477672" w:rsidP="004776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1245C">
        <w:rPr>
          <w:rFonts w:ascii="Times New Roman" w:hAnsi="Times New Roman"/>
          <w:sz w:val="28"/>
          <w:szCs w:val="28"/>
        </w:rPr>
        <w:t>Сальдированный финансовый результат деятельности крупных и средних организаций по состоянию на 1 января 2024 года отрицательный в сумме 319,6 млн. рублей.</w:t>
      </w:r>
    </w:p>
    <w:p w14:paraId="752836FB" w14:textId="77777777" w:rsidR="00477672" w:rsidRPr="0071245C" w:rsidRDefault="00477672" w:rsidP="004776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1245C">
        <w:rPr>
          <w:rFonts w:ascii="Times New Roman" w:hAnsi="Times New Roman"/>
          <w:sz w:val="28"/>
          <w:szCs w:val="28"/>
        </w:rPr>
        <w:t>В отчетном периоде убыточную деятельность вели 3 организации из 13 (с учетом обособленных подразделений). Сумма убытка составила 839,9 млн. рублей или 341,3% по отношению к аналогичному периоду 2023 года.</w:t>
      </w:r>
    </w:p>
    <w:p w14:paraId="22D226A2" w14:textId="77777777" w:rsidR="00477672" w:rsidRPr="0071245C" w:rsidRDefault="00477672" w:rsidP="00477672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45C">
        <w:rPr>
          <w:rFonts w:ascii="Times New Roman" w:hAnsi="Times New Roman"/>
          <w:sz w:val="28"/>
          <w:szCs w:val="28"/>
        </w:rPr>
        <w:t xml:space="preserve">Основные причины убытков связаны с предприятием АО ПДК «Апшеронск», так как в настоящее время предприятие находится в процедуре банкротства и не осуществляет производственную деятельность, в связи с запретом на заготовку, транспортировку, </w:t>
      </w:r>
      <w:proofErr w:type="spellStart"/>
      <w:r w:rsidRPr="0071245C">
        <w:rPr>
          <w:rFonts w:ascii="Times New Roman" w:hAnsi="Times New Roman"/>
          <w:sz w:val="28"/>
          <w:szCs w:val="28"/>
        </w:rPr>
        <w:t>лесоуходные</w:t>
      </w:r>
      <w:proofErr w:type="spellEnd"/>
      <w:r w:rsidRPr="0071245C">
        <w:rPr>
          <w:rFonts w:ascii="Times New Roman" w:hAnsi="Times New Roman"/>
          <w:sz w:val="28"/>
          <w:szCs w:val="28"/>
        </w:rPr>
        <w:t xml:space="preserve"> работы и противопожарные мероприятия.</w:t>
      </w:r>
    </w:p>
    <w:p w14:paraId="7320DA9B" w14:textId="09D22462" w:rsidR="00477672" w:rsidRPr="0071245C" w:rsidRDefault="00477672" w:rsidP="00477672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245C">
        <w:rPr>
          <w:rFonts w:ascii="Times New Roman" w:hAnsi="Times New Roman"/>
          <w:bCs/>
          <w:sz w:val="28"/>
          <w:szCs w:val="28"/>
        </w:rPr>
        <w:t>С</w:t>
      </w:r>
      <w:r w:rsidRPr="0071245C">
        <w:rPr>
          <w:rFonts w:ascii="Times New Roman" w:hAnsi="Times New Roman"/>
          <w:sz w:val="28"/>
          <w:szCs w:val="28"/>
        </w:rPr>
        <w:t>огласно Федерально</w:t>
      </w:r>
      <w:r w:rsidR="000B7FED" w:rsidRPr="0071245C">
        <w:rPr>
          <w:rFonts w:ascii="Times New Roman" w:hAnsi="Times New Roman"/>
          <w:sz w:val="28"/>
          <w:szCs w:val="28"/>
        </w:rPr>
        <w:t>му</w:t>
      </w:r>
      <w:r w:rsidRPr="0071245C">
        <w:rPr>
          <w:rFonts w:ascii="Times New Roman" w:hAnsi="Times New Roman"/>
          <w:sz w:val="28"/>
          <w:szCs w:val="28"/>
        </w:rPr>
        <w:t xml:space="preserve"> закон</w:t>
      </w:r>
      <w:r w:rsidR="000B7FED" w:rsidRPr="0071245C">
        <w:rPr>
          <w:rFonts w:ascii="Times New Roman" w:hAnsi="Times New Roman"/>
          <w:sz w:val="28"/>
          <w:szCs w:val="28"/>
        </w:rPr>
        <w:t>у</w:t>
      </w:r>
      <w:r w:rsidRPr="0071245C">
        <w:rPr>
          <w:rFonts w:ascii="Times New Roman" w:hAnsi="Times New Roman"/>
          <w:sz w:val="28"/>
          <w:szCs w:val="28"/>
        </w:rPr>
        <w:t xml:space="preserve"> с 1 января 2020 года вывоз твердых коммунальных отходов на территории Апшеронского района осуществляет региональный оператор, в результате чего снижено предоставление услуг предприятия</w:t>
      </w:r>
      <w:r w:rsidRPr="0071245C">
        <w:rPr>
          <w:rFonts w:ascii="Times New Roman" w:hAnsi="Times New Roman"/>
          <w:bCs/>
          <w:sz w:val="28"/>
          <w:szCs w:val="28"/>
        </w:rPr>
        <w:t xml:space="preserve"> МП «Апшеронск»</w:t>
      </w:r>
      <w:r w:rsidRPr="0071245C">
        <w:rPr>
          <w:rFonts w:ascii="Times New Roman" w:hAnsi="Times New Roman"/>
          <w:sz w:val="28"/>
          <w:szCs w:val="28"/>
        </w:rPr>
        <w:t>.</w:t>
      </w:r>
    </w:p>
    <w:p w14:paraId="4E6F70A2" w14:textId="77777777" w:rsidR="00477672" w:rsidRPr="0071245C" w:rsidRDefault="00477672" w:rsidP="00477672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245C">
        <w:rPr>
          <w:rFonts w:ascii="Times New Roman" w:hAnsi="Times New Roman"/>
          <w:bCs/>
          <w:sz w:val="28"/>
          <w:szCs w:val="28"/>
        </w:rPr>
        <w:t>Убытки показал ООО «Санаторий Минеральный» в связи с прекращением функционирования с сентября 2021 года.</w:t>
      </w:r>
    </w:p>
    <w:p w14:paraId="2440C84D" w14:textId="77777777" w:rsidR="00477672" w:rsidRPr="0071245C" w:rsidRDefault="00477672" w:rsidP="004776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45C">
        <w:rPr>
          <w:rFonts w:ascii="Times New Roman" w:hAnsi="Times New Roman" w:cs="Times New Roman"/>
          <w:sz w:val="28"/>
          <w:szCs w:val="28"/>
        </w:rPr>
        <w:t>Количество организаций, получивших прибыль за отчётный период 10 из 13. Сумма прибыли составила 520,3 млн. рублей или 104,7%</w:t>
      </w:r>
      <w:r w:rsidRPr="0071245C">
        <w:rPr>
          <w:rFonts w:ascii="Times New Roman" w:hAnsi="Times New Roman" w:cs="Times New Roman"/>
          <w:bCs/>
          <w:sz w:val="28"/>
          <w:szCs w:val="28"/>
        </w:rPr>
        <w:t xml:space="preserve"> по отношению к аналогичному периоду 2023 года. Прибыльную деятельность вели: </w:t>
      </w:r>
      <w:r w:rsidRPr="0071245C">
        <w:rPr>
          <w:rFonts w:ascii="Times New Roman" w:hAnsi="Times New Roman" w:cs="Times New Roman"/>
          <w:sz w:val="28"/>
          <w:szCs w:val="28"/>
        </w:rPr>
        <w:t xml:space="preserve">ООО «Пивоваренный завод </w:t>
      </w:r>
      <w:proofErr w:type="spellStart"/>
      <w:r w:rsidRPr="0071245C">
        <w:rPr>
          <w:rFonts w:ascii="Times New Roman" w:hAnsi="Times New Roman" w:cs="Times New Roman"/>
          <w:sz w:val="28"/>
          <w:szCs w:val="28"/>
        </w:rPr>
        <w:t>Хадыженский</w:t>
      </w:r>
      <w:proofErr w:type="spellEnd"/>
      <w:r w:rsidRPr="0071245C">
        <w:rPr>
          <w:rFonts w:ascii="Times New Roman" w:hAnsi="Times New Roman" w:cs="Times New Roman"/>
          <w:sz w:val="28"/>
          <w:szCs w:val="28"/>
        </w:rPr>
        <w:t>»; ОАО «</w:t>
      </w:r>
      <w:proofErr w:type="spellStart"/>
      <w:r w:rsidRPr="0071245C">
        <w:rPr>
          <w:rFonts w:ascii="Times New Roman" w:hAnsi="Times New Roman" w:cs="Times New Roman"/>
          <w:sz w:val="28"/>
          <w:szCs w:val="28"/>
        </w:rPr>
        <w:t>Апшеронскрайгаз</w:t>
      </w:r>
      <w:proofErr w:type="spellEnd"/>
      <w:r w:rsidRPr="0071245C">
        <w:rPr>
          <w:rFonts w:ascii="Times New Roman" w:hAnsi="Times New Roman" w:cs="Times New Roman"/>
          <w:sz w:val="28"/>
          <w:szCs w:val="28"/>
        </w:rPr>
        <w:t>»;</w:t>
      </w:r>
      <w:r w:rsidRPr="007124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245C">
        <w:rPr>
          <w:rFonts w:ascii="Times New Roman" w:hAnsi="Times New Roman" w:cs="Times New Roman"/>
          <w:sz w:val="28"/>
          <w:szCs w:val="28"/>
        </w:rPr>
        <w:t>АО «Апшеронск-</w:t>
      </w:r>
      <w:proofErr w:type="spellStart"/>
      <w:r w:rsidRPr="0071245C">
        <w:rPr>
          <w:rFonts w:ascii="Times New Roman" w:hAnsi="Times New Roman" w:cs="Times New Roman"/>
          <w:sz w:val="28"/>
          <w:szCs w:val="28"/>
        </w:rPr>
        <w:t>Лагонаки</w:t>
      </w:r>
      <w:proofErr w:type="spellEnd"/>
      <w:r w:rsidRPr="0071245C">
        <w:rPr>
          <w:rFonts w:ascii="Times New Roman" w:hAnsi="Times New Roman" w:cs="Times New Roman"/>
          <w:sz w:val="28"/>
          <w:szCs w:val="28"/>
        </w:rPr>
        <w:t>»;</w:t>
      </w:r>
      <w:r w:rsidRPr="007124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245C">
        <w:rPr>
          <w:rFonts w:ascii="Times New Roman" w:hAnsi="Times New Roman" w:cs="Times New Roman"/>
          <w:sz w:val="28"/>
          <w:szCs w:val="28"/>
        </w:rPr>
        <w:t>ПАО «ХМЗ»;</w:t>
      </w:r>
      <w:r w:rsidRPr="007124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245C">
        <w:rPr>
          <w:rFonts w:ascii="Times New Roman" w:hAnsi="Times New Roman" w:cs="Times New Roman"/>
          <w:sz w:val="28"/>
          <w:szCs w:val="28"/>
        </w:rPr>
        <w:t>МП «Хадыженск»;</w:t>
      </w:r>
      <w:r w:rsidRPr="007124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245C">
        <w:rPr>
          <w:rFonts w:ascii="Times New Roman" w:hAnsi="Times New Roman" w:cs="Times New Roman"/>
          <w:sz w:val="28"/>
          <w:szCs w:val="28"/>
        </w:rPr>
        <w:t xml:space="preserve">ОАО «Водоканал Апшеронского района»; ООО «Тепловые сети Апшеронского района»; ООО «Краснодарская Рыбная Компания»; </w:t>
      </w:r>
      <w:r w:rsidRPr="00712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местное отделение ДОСААФ России Апшеронского района Краснодарского края; </w:t>
      </w:r>
      <w:r w:rsidRPr="0071245C">
        <w:rPr>
          <w:rFonts w:ascii="Times New Roman" w:hAnsi="Times New Roman" w:cs="Times New Roman"/>
          <w:bCs/>
          <w:sz w:val="28"/>
          <w:szCs w:val="28"/>
        </w:rPr>
        <w:t>НАО «</w:t>
      </w:r>
      <w:proofErr w:type="spellStart"/>
      <w:r w:rsidRPr="0071245C">
        <w:rPr>
          <w:rFonts w:ascii="Times New Roman" w:hAnsi="Times New Roman" w:cs="Times New Roman"/>
          <w:bCs/>
          <w:sz w:val="28"/>
          <w:szCs w:val="28"/>
        </w:rPr>
        <w:t>Хадыженское</w:t>
      </w:r>
      <w:proofErr w:type="spellEnd"/>
      <w:r w:rsidRPr="0071245C">
        <w:rPr>
          <w:rFonts w:ascii="Times New Roman" w:hAnsi="Times New Roman" w:cs="Times New Roman"/>
          <w:bCs/>
          <w:sz w:val="28"/>
          <w:szCs w:val="28"/>
        </w:rPr>
        <w:t xml:space="preserve"> ПАТП».</w:t>
      </w:r>
    </w:p>
    <w:p w14:paraId="6450F675" w14:textId="77777777" w:rsidR="00477672" w:rsidRPr="0071245C" w:rsidRDefault="00477672" w:rsidP="004776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45C">
        <w:rPr>
          <w:rFonts w:ascii="Times New Roman" w:hAnsi="Times New Roman" w:cs="Times New Roman"/>
          <w:sz w:val="28"/>
          <w:szCs w:val="28"/>
        </w:rPr>
        <w:t>Н</w:t>
      </w:r>
      <w:r w:rsidRPr="0071245C">
        <w:rPr>
          <w:rFonts w:ascii="Times New Roman" w:eastAsia="Calibri" w:hAnsi="Times New Roman" w:cs="Times New Roman"/>
          <w:sz w:val="28"/>
          <w:szCs w:val="28"/>
        </w:rPr>
        <w:t>а территории МО Апшеронский район в процедурах банкротства находятся 5 юридических лиц, в которых начато конкурсное производство. По состоянию на 01.01.</w:t>
      </w:r>
      <w:r w:rsidRPr="0071245C">
        <w:rPr>
          <w:rFonts w:ascii="Times New Roman" w:hAnsi="Times New Roman" w:cs="Times New Roman"/>
          <w:sz w:val="28"/>
          <w:szCs w:val="28"/>
        </w:rPr>
        <w:t xml:space="preserve">2024 года предприятиями-банкротами погашена задолженность в бюджет </w:t>
      </w:r>
      <w:proofErr w:type="gramStart"/>
      <w:r w:rsidRPr="0071245C">
        <w:rPr>
          <w:rFonts w:ascii="Times New Roman" w:hAnsi="Times New Roman" w:cs="Times New Roman"/>
          <w:sz w:val="28"/>
          <w:szCs w:val="28"/>
        </w:rPr>
        <w:t>и  внебюджетные</w:t>
      </w:r>
      <w:proofErr w:type="gramEnd"/>
      <w:r w:rsidRPr="0071245C">
        <w:rPr>
          <w:rFonts w:ascii="Times New Roman" w:hAnsi="Times New Roman" w:cs="Times New Roman"/>
          <w:sz w:val="28"/>
          <w:szCs w:val="28"/>
        </w:rPr>
        <w:t xml:space="preserve"> фонды в размере 2 081,4 тыс. рублей, из них:</w:t>
      </w:r>
    </w:p>
    <w:p w14:paraId="110BC118" w14:textId="77777777" w:rsidR="00477672" w:rsidRPr="0071245C" w:rsidRDefault="00477672" w:rsidP="004776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45C">
        <w:rPr>
          <w:rFonts w:ascii="Times New Roman" w:hAnsi="Times New Roman" w:cs="Times New Roman"/>
          <w:sz w:val="28"/>
          <w:szCs w:val="28"/>
        </w:rPr>
        <w:t>АО ПДК «Апшеронск» - 1 912,0 тыс. рублей;</w:t>
      </w:r>
    </w:p>
    <w:p w14:paraId="0AFB805A" w14:textId="77777777" w:rsidR="00477672" w:rsidRPr="0071245C" w:rsidRDefault="00477672" w:rsidP="004776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45C">
        <w:rPr>
          <w:rFonts w:ascii="Times New Roman" w:hAnsi="Times New Roman" w:cs="Times New Roman"/>
          <w:sz w:val="28"/>
          <w:szCs w:val="28"/>
        </w:rPr>
        <w:t>ЗАО «Апшеронский лес» - 169,5 тыс. рублей.</w:t>
      </w:r>
    </w:p>
    <w:p w14:paraId="6D77ACDF" w14:textId="77777777" w:rsidR="00477672" w:rsidRPr="0071245C" w:rsidRDefault="00477672" w:rsidP="004776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1245C">
        <w:rPr>
          <w:rFonts w:ascii="Times New Roman" w:eastAsia="Calibri" w:hAnsi="Times New Roman" w:cs="Times New Roman"/>
          <w:sz w:val="28"/>
          <w:szCs w:val="28"/>
        </w:rPr>
        <w:t>Информация о наличии имущественных комплексов размещается на официальном сайте органа местного самоуправления, инвестиционном портале Апшеронского района и в средствах массовой информации.</w:t>
      </w:r>
    </w:p>
    <w:p w14:paraId="232FDF59" w14:textId="77777777" w:rsidR="00477672" w:rsidRPr="0071245C" w:rsidRDefault="00477672" w:rsidP="00477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1C68D" w14:textId="77777777" w:rsidR="001F43A5" w:rsidRPr="0071245C" w:rsidRDefault="001F43A5" w:rsidP="001F43A5">
      <w:pPr>
        <w:tabs>
          <w:tab w:val="left" w:pos="400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5C">
        <w:rPr>
          <w:rFonts w:ascii="Times New Roman" w:hAnsi="Times New Roman" w:cs="Times New Roman"/>
          <w:sz w:val="28"/>
          <w:szCs w:val="28"/>
        </w:rPr>
        <w:t xml:space="preserve">Потребительская сфера – </w:t>
      </w:r>
      <w:proofErr w:type="gramStart"/>
      <w:r w:rsidRPr="0071245C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71245C">
        <w:rPr>
          <w:rFonts w:ascii="Times New Roman" w:hAnsi="Times New Roman" w:cs="Times New Roman"/>
          <w:sz w:val="28"/>
          <w:szCs w:val="28"/>
        </w:rPr>
        <w:t xml:space="preserve"> остается одной из лидирующих отраслей района по уровню развития и включает в себя:</w:t>
      </w:r>
    </w:p>
    <w:p w14:paraId="3B9AC698" w14:textId="77777777" w:rsidR="001F43A5" w:rsidRPr="0071245C" w:rsidRDefault="001F43A5" w:rsidP="001F43A5">
      <w:pPr>
        <w:pStyle w:val="a4"/>
        <w:ind w:firstLine="709"/>
        <w:contextualSpacing/>
        <w:jc w:val="both"/>
        <w:rPr>
          <w:rFonts w:eastAsia="Calibri"/>
          <w:sz w:val="28"/>
          <w:szCs w:val="28"/>
        </w:rPr>
      </w:pPr>
      <w:r w:rsidRPr="0071245C">
        <w:rPr>
          <w:rFonts w:eastAsia="Calibri"/>
          <w:sz w:val="28"/>
          <w:szCs w:val="28"/>
        </w:rPr>
        <w:t>- 712 объектов розничной торговли;</w:t>
      </w:r>
    </w:p>
    <w:p w14:paraId="3BC197FA" w14:textId="77777777" w:rsidR="001F43A5" w:rsidRPr="0071245C" w:rsidRDefault="001F43A5" w:rsidP="001F43A5">
      <w:pPr>
        <w:pStyle w:val="a4"/>
        <w:ind w:firstLine="709"/>
        <w:contextualSpacing/>
        <w:jc w:val="both"/>
        <w:rPr>
          <w:rFonts w:eastAsia="Calibri"/>
          <w:sz w:val="28"/>
          <w:szCs w:val="28"/>
        </w:rPr>
      </w:pPr>
      <w:r w:rsidRPr="0071245C">
        <w:rPr>
          <w:rFonts w:eastAsia="Calibri"/>
          <w:sz w:val="28"/>
          <w:szCs w:val="28"/>
        </w:rPr>
        <w:t>- 109 объектов общественного питания;</w:t>
      </w:r>
    </w:p>
    <w:p w14:paraId="0CF014BC" w14:textId="77777777" w:rsidR="001F43A5" w:rsidRPr="0071245C" w:rsidRDefault="001F43A5" w:rsidP="001F43A5">
      <w:pPr>
        <w:pStyle w:val="a4"/>
        <w:ind w:firstLine="709"/>
        <w:contextualSpacing/>
        <w:jc w:val="both"/>
        <w:rPr>
          <w:rFonts w:eastAsia="Calibri"/>
          <w:sz w:val="28"/>
          <w:szCs w:val="28"/>
        </w:rPr>
      </w:pPr>
      <w:r w:rsidRPr="0071245C">
        <w:rPr>
          <w:rFonts w:eastAsia="Calibri"/>
          <w:sz w:val="28"/>
          <w:szCs w:val="28"/>
        </w:rPr>
        <w:t>- 182 предприятия бытового обслуживания населения,</w:t>
      </w:r>
    </w:p>
    <w:p w14:paraId="71582BA3" w14:textId="77777777" w:rsidR="001F43A5" w:rsidRPr="0071245C" w:rsidRDefault="001F43A5" w:rsidP="001F43A5">
      <w:pPr>
        <w:pStyle w:val="a4"/>
        <w:ind w:firstLine="709"/>
        <w:contextualSpacing/>
        <w:jc w:val="both"/>
        <w:rPr>
          <w:rFonts w:eastAsia="Calibri"/>
          <w:sz w:val="28"/>
          <w:szCs w:val="28"/>
        </w:rPr>
      </w:pPr>
      <w:r w:rsidRPr="0071245C">
        <w:rPr>
          <w:rFonts w:eastAsia="Calibri"/>
          <w:sz w:val="28"/>
          <w:szCs w:val="28"/>
        </w:rPr>
        <w:t>- 2 универсальные ярмарки, 6 предприятий оптовой торговли,</w:t>
      </w:r>
    </w:p>
    <w:p w14:paraId="5E8F0705" w14:textId="77777777" w:rsidR="001F43A5" w:rsidRPr="0071245C" w:rsidRDefault="001F43A5" w:rsidP="001F43A5">
      <w:pPr>
        <w:pStyle w:val="a4"/>
        <w:ind w:firstLine="709"/>
        <w:contextualSpacing/>
        <w:jc w:val="both"/>
        <w:rPr>
          <w:sz w:val="28"/>
          <w:szCs w:val="28"/>
        </w:rPr>
      </w:pPr>
      <w:r w:rsidRPr="0071245C">
        <w:rPr>
          <w:rFonts w:eastAsia="Calibri"/>
          <w:sz w:val="28"/>
          <w:szCs w:val="28"/>
        </w:rPr>
        <w:lastRenderedPageBreak/>
        <w:t>- 14 автозаправочных станций.</w:t>
      </w:r>
    </w:p>
    <w:p w14:paraId="300D3FEE" w14:textId="77777777" w:rsidR="001F43A5" w:rsidRPr="0071245C" w:rsidRDefault="001F43A5" w:rsidP="001F43A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5C">
        <w:rPr>
          <w:rFonts w:ascii="Times New Roman" w:hAnsi="Times New Roman" w:cs="Times New Roman"/>
          <w:sz w:val="28"/>
          <w:szCs w:val="28"/>
        </w:rPr>
        <w:t>Общая торговая площадь составляет 59 179,</w:t>
      </w:r>
      <w:proofErr w:type="gramStart"/>
      <w:r w:rsidRPr="0071245C">
        <w:rPr>
          <w:rFonts w:ascii="Times New Roman" w:hAnsi="Times New Roman" w:cs="Times New Roman"/>
          <w:sz w:val="28"/>
          <w:szCs w:val="28"/>
        </w:rPr>
        <w:t>45  кв.</w:t>
      </w:r>
      <w:proofErr w:type="gramEnd"/>
      <w:r w:rsidRPr="0071245C">
        <w:rPr>
          <w:rFonts w:ascii="Times New Roman" w:hAnsi="Times New Roman" w:cs="Times New Roman"/>
          <w:sz w:val="28"/>
          <w:szCs w:val="28"/>
        </w:rPr>
        <w:t xml:space="preserve"> м.</w:t>
      </w:r>
    </w:p>
    <w:p w14:paraId="075A63A2" w14:textId="77777777" w:rsidR="001F43A5" w:rsidRPr="0071245C" w:rsidRDefault="001F43A5" w:rsidP="001F43A5">
      <w:pPr>
        <w:tabs>
          <w:tab w:val="left" w:pos="400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5C">
        <w:rPr>
          <w:rFonts w:ascii="Times New Roman" w:hAnsi="Times New Roman" w:cs="Times New Roman"/>
          <w:sz w:val="28"/>
          <w:szCs w:val="28"/>
        </w:rPr>
        <w:t xml:space="preserve">Оборот розничной торговли составил 7548,5 млн. рублей, что на 15,6% больше, чем за аналогичный период прошлого года. Рост показали </w:t>
      </w:r>
      <w:r w:rsidRPr="0071245C"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Pr="0071245C">
        <w:rPr>
          <w:rFonts w:ascii="Times New Roman" w:hAnsi="Times New Roman" w:cs="Times New Roman"/>
          <w:sz w:val="28"/>
          <w:szCs w:val="28"/>
        </w:rPr>
        <w:t xml:space="preserve"> в Апшеронске и Хадыженске, ООО «Три богатыря», Сервис-Юг-ККМ.</w:t>
      </w:r>
    </w:p>
    <w:p w14:paraId="31ACECFC" w14:textId="77777777" w:rsidR="001F43A5" w:rsidRPr="0071245C" w:rsidRDefault="001F43A5" w:rsidP="001F43A5">
      <w:pPr>
        <w:tabs>
          <w:tab w:val="left" w:pos="400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5C">
        <w:rPr>
          <w:rFonts w:ascii="Times New Roman" w:hAnsi="Times New Roman" w:cs="Times New Roman"/>
          <w:sz w:val="28"/>
          <w:szCs w:val="28"/>
        </w:rPr>
        <w:t xml:space="preserve">Среди федеральных сетей лидирующее место занимает ЗАО «Тандер» сеть магазинов «Магнит», активно развивается сетевой партнер «Пятерочка», </w:t>
      </w:r>
      <w:r w:rsidRPr="0071245C"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Pr="0071245C">
        <w:rPr>
          <w:rFonts w:ascii="Times New Roman" w:hAnsi="Times New Roman" w:cs="Times New Roman"/>
          <w:sz w:val="28"/>
          <w:szCs w:val="28"/>
        </w:rPr>
        <w:t xml:space="preserve">, </w:t>
      </w:r>
      <w:r w:rsidRPr="0071245C">
        <w:rPr>
          <w:rFonts w:ascii="Times New Roman" w:hAnsi="Times New Roman" w:cs="Times New Roman"/>
          <w:sz w:val="28"/>
          <w:szCs w:val="28"/>
          <w:lang w:val="en-US"/>
        </w:rPr>
        <w:t>Kari</w:t>
      </w:r>
      <w:r w:rsidRPr="0071245C">
        <w:rPr>
          <w:rFonts w:ascii="Times New Roman" w:hAnsi="Times New Roman" w:cs="Times New Roman"/>
          <w:sz w:val="28"/>
          <w:szCs w:val="28"/>
        </w:rPr>
        <w:t>.</w:t>
      </w:r>
    </w:p>
    <w:p w14:paraId="520C3CB0" w14:textId="77777777" w:rsidR="001F43A5" w:rsidRPr="0071245C" w:rsidRDefault="001F43A5" w:rsidP="001F43A5">
      <w:pPr>
        <w:tabs>
          <w:tab w:val="left" w:pos="400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5C">
        <w:rPr>
          <w:rFonts w:ascii="Times New Roman" w:hAnsi="Times New Roman" w:cs="Times New Roman"/>
          <w:sz w:val="28"/>
          <w:szCs w:val="28"/>
        </w:rPr>
        <w:t>В 2023 году открылись: сетевой магазин «Магнит», универсальный оптовый склад «Победа», роботизированная автомойка, сетевой магазин «Красное и белое», сетевая пекарня «Маруся»; 2 магазина «Чижик».</w:t>
      </w:r>
    </w:p>
    <w:p w14:paraId="3A810E2B" w14:textId="77777777" w:rsidR="001F43A5" w:rsidRPr="0071245C" w:rsidRDefault="001F43A5" w:rsidP="001F43A5">
      <w:pPr>
        <w:tabs>
          <w:tab w:val="left" w:pos="400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5C">
        <w:rPr>
          <w:rFonts w:ascii="Times New Roman" w:hAnsi="Times New Roman" w:cs="Times New Roman"/>
          <w:sz w:val="28"/>
          <w:szCs w:val="28"/>
        </w:rPr>
        <w:t>Свои локальные сети в районе представляет фирма ООО «Три богатыря», включающая сеть магазинов и оптовую продовольственную базу и оптовую базу по реализации алкогольной продукции.</w:t>
      </w:r>
    </w:p>
    <w:p w14:paraId="0409667C" w14:textId="77777777" w:rsidR="001F43A5" w:rsidRPr="0071245C" w:rsidRDefault="001F43A5" w:rsidP="001F43A5">
      <w:pPr>
        <w:tabs>
          <w:tab w:val="left" w:pos="400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5C">
        <w:rPr>
          <w:rFonts w:ascii="Times New Roman" w:hAnsi="Times New Roman" w:cs="Times New Roman"/>
          <w:sz w:val="28"/>
          <w:szCs w:val="28"/>
        </w:rPr>
        <w:t>Успешно развивается фирменная торговая сеть предприятий перерабатывающей промышленности: 7 торговых объектов Выселковского «Агрокомплекса», торговая сеть «Док-Мак» проводит реконструкцию своих объектов в сельских местностях. В целях поддержки субъектов малого и среднего предпринимательства открыта точка по продаже фермерских продуктов.</w:t>
      </w:r>
    </w:p>
    <w:p w14:paraId="24955A21" w14:textId="77777777" w:rsidR="00E1636F" w:rsidRPr="0071245C" w:rsidRDefault="00E1636F" w:rsidP="00D15164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Фактическая обеспеченность площадью стационарных торговых объектов по </w:t>
      </w:r>
      <w:r w:rsidR="001F43A5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району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1000 человек населения в 2023 году увеличилась по сравнению с 2022 годом на </w:t>
      </w:r>
      <w:r w:rsidR="001F43A5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2239,6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кв.м</w:t>
      </w:r>
      <w:proofErr w:type="spellEnd"/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составила </w:t>
      </w:r>
      <w:r w:rsidR="001F43A5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59179,45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кв.м</w:t>
      </w:r>
      <w:proofErr w:type="spellEnd"/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против </w:t>
      </w:r>
      <w:r w:rsidR="001F43A5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56939,85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кв.м</w:t>
      </w:r>
      <w:proofErr w:type="spellEnd"/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2022 году (темп роста 10</w:t>
      </w:r>
      <w:r w:rsidR="001F43A5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F43A5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</w:t>
      </w:r>
    </w:p>
    <w:p w14:paraId="10AF76DD" w14:textId="77777777" w:rsidR="001F43A5" w:rsidRPr="0071245C" w:rsidRDefault="00E1636F" w:rsidP="00D15164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Фактическая обеспеченность населения количеством стационарных торговых объектов в 2023 году составила </w:t>
      </w:r>
      <w:r w:rsidR="001F43A5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576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объектов, при нормативном значении </w:t>
      </w:r>
      <w:r w:rsidR="001F43A5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342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торговых объектов, что составляет </w:t>
      </w:r>
      <w:r w:rsidR="001F43A5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168,4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к нормативному значению показателя</w:t>
      </w:r>
      <w:r w:rsidR="001F43A5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366FABB7" w14:textId="77777777" w:rsidR="00E1636F" w:rsidRPr="0071245C" w:rsidRDefault="00E1636F" w:rsidP="00D15164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</w:t>
      </w:r>
      <w:proofErr w:type="gramEnd"/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2023 году в </w:t>
      </w:r>
      <w:r w:rsidR="00E27933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районе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работал</w:t>
      </w:r>
      <w:r w:rsidR="00E27933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универсальны</w:t>
      </w:r>
      <w:r w:rsidR="00E27933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7933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ярмарки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1</w:t>
      </w:r>
      <w:r w:rsidR="00E27933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7933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придорожных ярмарок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проводились регулярные и приуроченные к праздничным дням ярмарки.</w:t>
      </w:r>
    </w:p>
    <w:p w14:paraId="751B647E" w14:textId="77777777" w:rsidR="00E1636F" w:rsidRPr="0071245C" w:rsidRDefault="00E1636F" w:rsidP="00D15164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Сеть общественного питания составляет </w:t>
      </w:r>
      <w:r w:rsidR="003A5348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109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объект, в том числе: кафе и закусочные – </w:t>
      </w:r>
      <w:r w:rsidR="003A5348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67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столовые - </w:t>
      </w:r>
      <w:r w:rsidR="003A5348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Общее количество посадочных мест на 01.01.2024 года составило </w:t>
      </w:r>
      <w:r w:rsidR="003A5348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4342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единицы или </w:t>
      </w:r>
      <w:r w:rsidR="003A5348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44,14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места на 1000 населения.</w:t>
      </w:r>
    </w:p>
    <w:p w14:paraId="36EB2DE2" w14:textId="7BFEC40B" w:rsidR="00E1636F" w:rsidRPr="00D15164" w:rsidRDefault="00E1636F" w:rsidP="00D15164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Общее количество объектов бытового обслуживания населения на конец 2023 года составило </w:t>
      </w:r>
      <w:r w:rsidR="003A5348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145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точек</w:t>
      </w:r>
      <w:r w:rsidR="003A5348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B7FED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обеспеченность жителей</w:t>
      </w:r>
      <w:r w:rsidR="003A5348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бытовыми услугами на 1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000 человек населения</w:t>
      </w:r>
      <w:r w:rsidR="003A5348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2,247 точек</w:t>
      </w:r>
      <w:r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A5348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населенные пункты охвачены услугами бытового обслуживания. Все отдаленные сельские населенные пункты организовали выездное обслуживание (парикмахерские, ритуальные и т</w:t>
      </w:r>
      <w:r w:rsidR="009B12B1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A5348" w:rsidRPr="00712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д.).</w:t>
      </w:r>
    </w:p>
    <w:sectPr w:rsidR="00E1636F" w:rsidRPr="00D15164" w:rsidSect="00F6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3B"/>
    <w:rsid w:val="000631A9"/>
    <w:rsid w:val="000B7FED"/>
    <w:rsid w:val="00123B3B"/>
    <w:rsid w:val="00130853"/>
    <w:rsid w:val="001F43A5"/>
    <w:rsid w:val="0021596C"/>
    <w:rsid w:val="002C2221"/>
    <w:rsid w:val="00365D24"/>
    <w:rsid w:val="00367DAB"/>
    <w:rsid w:val="00394F9E"/>
    <w:rsid w:val="003A13E8"/>
    <w:rsid w:val="003A5348"/>
    <w:rsid w:val="003D0CDD"/>
    <w:rsid w:val="00404A9B"/>
    <w:rsid w:val="00477672"/>
    <w:rsid w:val="00501DC2"/>
    <w:rsid w:val="0052471F"/>
    <w:rsid w:val="005F4A14"/>
    <w:rsid w:val="00617022"/>
    <w:rsid w:val="00627990"/>
    <w:rsid w:val="00667F07"/>
    <w:rsid w:val="006B334F"/>
    <w:rsid w:val="0071245C"/>
    <w:rsid w:val="0071779E"/>
    <w:rsid w:val="007D0D9C"/>
    <w:rsid w:val="00867F02"/>
    <w:rsid w:val="00887290"/>
    <w:rsid w:val="008C1EF3"/>
    <w:rsid w:val="009B12B1"/>
    <w:rsid w:val="00A058B6"/>
    <w:rsid w:val="00AB2E11"/>
    <w:rsid w:val="00B35265"/>
    <w:rsid w:val="00B523BC"/>
    <w:rsid w:val="00BB5367"/>
    <w:rsid w:val="00C262DC"/>
    <w:rsid w:val="00C3238C"/>
    <w:rsid w:val="00D15164"/>
    <w:rsid w:val="00D2280F"/>
    <w:rsid w:val="00DC4BDE"/>
    <w:rsid w:val="00E1636F"/>
    <w:rsid w:val="00E27933"/>
    <w:rsid w:val="00F309FB"/>
    <w:rsid w:val="00F64B3F"/>
    <w:rsid w:val="00F8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E28E"/>
  <w15:docId w15:val="{32412D24-5879-4320-9261-8064FC93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1F43A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rsid w:val="001F43A5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aliases w:val="Обычный (веб)1,Обычный (Web),Обычный (веб)11,Обычный (веб)2,Обычный (веб)3,Обычный (Web)1,Обычный (веб)21,Обычный (Web)2,Обычный (веб)111,Обычный (Web)3,Обычный (веб)1111,Обычный (веб)5,Обычный (веб)11111 Знак Знак"/>
    <w:uiPriority w:val="99"/>
    <w:unhideWhenUsed/>
    <w:qFormat/>
    <w:rsid w:val="0047767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712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2024-04-09T09:18:00Z</cp:lastPrinted>
  <dcterms:created xsi:type="dcterms:W3CDTF">2024-04-10T16:17:00Z</dcterms:created>
  <dcterms:modified xsi:type="dcterms:W3CDTF">2024-04-10T16:18:00Z</dcterms:modified>
</cp:coreProperties>
</file>