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15" w:type="dxa"/>
        <w:tblInd w:w="51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15"/>
      </w:tblGrid>
      <w:tr w:rsidR="0071224A">
        <w:trPr>
          <w:trHeight w:val="451"/>
        </w:trPr>
        <w:tc>
          <w:tcPr>
            <w:tcW w:w="4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4A" w:rsidRDefault="00874ADA">
            <w:pPr>
              <w:pStyle w:val="Standard"/>
              <w:widowControl w:val="0"/>
              <w:autoSpaceDE w:val="0"/>
              <w:snapToGrid w:val="0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</w:t>
            </w:r>
          </w:p>
          <w:p w:rsidR="0071224A" w:rsidRDefault="0071224A">
            <w:pPr>
              <w:pStyle w:val="Standard"/>
              <w:widowControl w:val="0"/>
              <w:autoSpaceDE w:val="0"/>
              <w:ind w:left="11" w:right="27"/>
              <w:jc w:val="both"/>
              <w:rPr>
                <w:sz w:val="18"/>
                <w:szCs w:val="28"/>
              </w:rPr>
            </w:pPr>
          </w:p>
          <w:p w:rsidR="0071224A" w:rsidRDefault="00874ADA">
            <w:pPr>
              <w:pStyle w:val="Standard"/>
              <w:widowControl w:val="0"/>
              <w:autoSpaceDE w:val="0"/>
              <w:ind w:left="11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</w:t>
            </w:r>
          </w:p>
          <w:p w:rsidR="0071224A" w:rsidRDefault="00874ADA">
            <w:pPr>
              <w:pStyle w:val="Standard"/>
              <w:widowControl w:val="0"/>
              <w:autoSpaceDE w:val="0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муниципального образования Апшеронский район</w:t>
            </w:r>
          </w:p>
          <w:p w:rsidR="0071224A" w:rsidRDefault="00874ADA">
            <w:pPr>
              <w:pStyle w:val="Standard"/>
              <w:widowControl w:val="0"/>
              <w:autoSpaceDE w:val="0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</w:t>
            </w:r>
          </w:p>
        </w:tc>
      </w:tr>
    </w:tbl>
    <w:p w:rsidR="0071224A" w:rsidRDefault="0071224A">
      <w:pPr>
        <w:pStyle w:val="Standard"/>
        <w:widowControl w:val="0"/>
        <w:autoSpaceDE w:val="0"/>
      </w:pPr>
    </w:p>
    <w:p w:rsidR="0071224A" w:rsidRDefault="0071224A">
      <w:pPr>
        <w:pStyle w:val="Standard"/>
        <w:widowControl w:val="0"/>
        <w:autoSpaceDE w:val="0"/>
        <w:jc w:val="center"/>
        <w:rPr>
          <w:b/>
          <w:bCs/>
          <w:sz w:val="28"/>
          <w:szCs w:val="28"/>
        </w:rPr>
      </w:pPr>
    </w:p>
    <w:p w:rsidR="0071224A" w:rsidRDefault="0071224A">
      <w:pPr>
        <w:pStyle w:val="Standard"/>
        <w:widowControl w:val="0"/>
        <w:autoSpaceDE w:val="0"/>
        <w:jc w:val="center"/>
        <w:rPr>
          <w:b/>
          <w:bCs/>
          <w:sz w:val="28"/>
          <w:szCs w:val="28"/>
        </w:rPr>
      </w:pPr>
    </w:p>
    <w:p w:rsidR="0071224A" w:rsidRDefault="0071224A">
      <w:pPr>
        <w:pStyle w:val="Standard"/>
        <w:widowControl w:val="0"/>
        <w:autoSpaceDE w:val="0"/>
        <w:jc w:val="center"/>
        <w:rPr>
          <w:b/>
          <w:bCs/>
          <w:sz w:val="28"/>
          <w:szCs w:val="28"/>
        </w:rPr>
      </w:pPr>
    </w:p>
    <w:p w:rsidR="0071224A" w:rsidRDefault="00874ADA">
      <w:pPr>
        <w:pStyle w:val="Standard"/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1224A" w:rsidRDefault="00874ADA">
      <w:pPr>
        <w:pStyle w:val="Standard"/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внешней проверки годового отчета об исполнении</w:t>
      </w:r>
    </w:p>
    <w:p w:rsidR="0071224A" w:rsidRDefault="00874ADA">
      <w:pPr>
        <w:pStyle w:val="Standard"/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муниципального образования Апшеронский район</w:t>
      </w:r>
    </w:p>
    <w:p w:rsidR="0071224A" w:rsidRDefault="0071224A">
      <w:pPr>
        <w:pStyle w:val="Standard"/>
        <w:widowControl w:val="0"/>
        <w:autoSpaceDE w:val="0"/>
        <w:rPr>
          <w:sz w:val="28"/>
          <w:szCs w:val="28"/>
        </w:rPr>
      </w:pPr>
    </w:p>
    <w:p w:rsidR="0071224A" w:rsidRDefault="0071224A">
      <w:pPr>
        <w:pStyle w:val="Standard"/>
        <w:widowControl w:val="0"/>
        <w:autoSpaceDE w:val="0"/>
        <w:rPr>
          <w:sz w:val="28"/>
          <w:szCs w:val="28"/>
        </w:rPr>
      </w:pPr>
    </w:p>
    <w:p w:rsidR="0071224A" w:rsidRDefault="00874ADA">
      <w:pPr>
        <w:pStyle w:val="Standard"/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71224A" w:rsidRDefault="0071224A">
      <w:pPr>
        <w:pStyle w:val="Standard"/>
        <w:widowControl w:val="0"/>
        <w:autoSpaceDE w:val="0"/>
        <w:jc w:val="center"/>
        <w:rPr>
          <w:b/>
          <w:bCs/>
          <w:sz w:val="28"/>
          <w:szCs w:val="28"/>
        </w:rPr>
      </w:pPr>
    </w:p>
    <w:p w:rsidR="0071224A" w:rsidRDefault="00874ADA">
      <w:pPr>
        <w:pStyle w:val="Standard"/>
        <w:widowControl w:val="0"/>
        <w:autoSpaceDE w:val="0"/>
        <w:ind w:firstLine="709"/>
        <w:jc w:val="both"/>
      </w:pPr>
      <w:r>
        <w:rPr>
          <w:sz w:val="28"/>
          <w:szCs w:val="28"/>
        </w:rPr>
        <w:t>1.1. Годовой отчет об исполнении бюджета муниципального образования Апшеронский район (далее – годовой отчет об исполнении бюджета, районный бюджет) до его утверждения в Совете муниципального образования Апшеронский район подлежит внешней проверке, которая включает внешнюю проверку бюджетной отчетности</w:t>
      </w:r>
      <w:r>
        <w:rPr>
          <w:color w:val="000000"/>
          <w:sz w:val="28"/>
          <w:szCs w:val="28"/>
        </w:rPr>
        <w:t xml:space="preserve">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 (далее также по тексту – главные администраторы бюджетных средств или ГАБС)</w:t>
      </w:r>
      <w:r>
        <w:rPr>
          <w:sz w:val="28"/>
          <w:szCs w:val="28"/>
        </w:rPr>
        <w:t xml:space="preserve"> и подготовку заключения на годовой отчет об исполнении бюджета.</w:t>
      </w:r>
    </w:p>
    <w:p w:rsidR="0071224A" w:rsidRDefault="00874ADA">
      <w:pPr>
        <w:pStyle w:val="Standard"/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1.2. Внешняя проверка бюджетной отчетности </w:t>
      </w:r>
      <w:r>
        <w:rPr>
          <w:sz w:val="28"/>
          <w:szCs w:val="28"/>
        </w:rPr>
        <w:t>главных администраторов бюджетных средств</w:t>
      </w:r>
      <w:r>
        <w:rPr>
          <w:color w:val="000000"/>
          <w:sz w:val="28"/>
          <w:szCs w:val="28"/>
        </w:rPr>
        <w:t xml:space="preserve"> проводится Контрольно-счетной палатой муниципального образования Апшеронский район (далее также - Контрольно-счетная палата) на основании статьи 264.4 Бюджетного кодекса Российской Федерации, Положения о бюджетном процессе в муниципальном образовании Апшеронский район, Положения о Контрольно-счетной палате муниципального образования Апшеронский район, утвержденного решением Совета муниципального образования Апшеронский район от 01.12.2011 № 133 и в соответствии с настоящим Порядком.</w:t>
      </w:r>
    </w:p>
    <w:p w:rsidR="0071224A" w:rsidRDefault="0071224A">
      <w:pPr>
        <w:pStyle w:val="Standard"/>
        <w:widowControl w:val="0"/>
        <w:autoSpaceDE w:val="0"/>
        <w:ind w:firstLine="709"/>
        <w:jc w:val="both"/>
      </w:pPr>
    </w:p>
    <w:p w:rsidR="0071224A" w:rsidRDefault="00874ADA">
      <w:pPr>
        <w:pStyle w:val="3"/>
        <w:widowControl w:val="0"/>
        <w:autoSpaceDE w:val="0"/>
        <w:spacing w:before="0" w:after="0"/>
        <w:jc w:val="center"/>
      </w:pPr>
      <w:r>
        <w:rPr>
          <w:rStyle w:val="StrongEmphasis"/>
          <w:rFonts w:eastAsia="Times New Roman" w:cs="Times New Roman"/>
          <w:b/>
          <w:bCs/>
        </w:rPr>
        <w:t xml:space="preserve">2. Общие принципы и подходы к проведению </w:t>
      </w:r>
    </w:p>
    <w:p w:rsidR="0071224A" w:rsidRDefault="00874ADA">
      <w:pPr>
        <w:pStyle w:val="3"/>
        <w:widowControl w:val="0"/>
        <w:autoSpaceDE w:val="0"/>
        <w:spacing w:before="0" w:after="0"/>
        <w:jc w:val="center"/>
      </w:pPr>
      <w:r>
        <w:rPr>
          <w:rStyle w:val="StrongEmphasis"/>
          <w:rFonts w:eastAsia="Times New Roman" w:cs="Times New Roman"/>
          <w:b/>
          <w:bCs/>
        </w:rPr>
        <w:t>внешней проверки</w:t>
      </w:r>
    </w:p>
    <w:p w:rsidR="0071224A" w:rsidRDefault="0071224A">
      <w:pPr>
        <w:pStyle w:val="Textbody"/>
        <w:spacing w:after="0"/>
      </w:pPr>
    </w:p>
    <w:p w:rsidR="0071224A" w:rsidRDefault="00874ADA">
      <w:pPr>
        <w:pStyle w:val="Standard"/>
        <w:widowControl w:val="0"/>
        <w:tabs>
          <w:tab w:val="left" w:pos="1120"/>
        </w:tabs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Внешняя проверка годового отчета об исполнении бюджета – экспертно-аналитическое мероприятие, предусматривающее подготовку заключения на годовой отчет об исполнении бюджета на основе данных внешней проверки бюджетной отчетности главных администраторов бюджетных средств.</w:t>
      </w:r>
    </w:p>
    <w:p w:rsidR="0071224A" w:rsidRDefault="00874ADA">
      <w:pPr>
        <w:pStyle w:val="Standard"/>
        <w:widowControl w:val="0"/>
        <w:tabs>
          <w:tab w:val="left" w:pos="1120"/>
        </w:tabs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Цель внешней проверки – анализ и оценка содержащейся в годовой бюджетной отчетности информации о финансовой деятельности главных </w:t>
      </w:r>
      <w:r>
        <w:rPr>
          <w:color w:val="000000"/>
          <w:sz w:val="28"/>
          <w:szCs w:val="28"/>
        </w:rPr>
        <w:lastRenderedPageBreak/>
        <w:t>администраторов бюджетных средств. </w:t>
      </w:r>
    </w:p>
    <w:p w:rsidR="0071224A" w:rsidRDefault="00874ADA">
      <w:pPr>
        <w:pStyle w:val="TableContents"/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ходе анализа и оценки форм бюджетной отчетности оценивается полнота отчетности в соответствии с требованиями статьи 264.1 Бюджетного кодекса Российской Федерации и приказа Минфина РФ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71224A" w:rsidRDefault="00874ADA">
      <w:pPr>
        <w:pStyle w:val="TableContents"/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Бюджетная деятельность может рассматриваться с точки зрения различных критериев оценки (законность, результативность, эффективность). В случае недостаточности информации из бюджетной отчетности для анализа и оценки бюджетной деятельности могут использоваться иные источники информации.</w:t>
      </w:r>
    </w:p>
    <w:p w:rsidR="0071224A" w:rsidRDefault="00874ADA">
      <w:pPr>
        <w:pStyle w:val="TableContents"/>
        <w:rPr>
          <w:sz w:val="28"/>
          <w:szCs w:val="28"/>
        </w:rPr>
      </w:pPr>
      <w:r>
        <w:rPr>
          <w:sz w:val="28"/>
          <w:szCs w:val="28"/>
        </w:rPr>
        <w:tab/>
        <w:t>2.3. Задачи внешней проверки:</w:t>
      </w:r>
    </w:p>
    <w:p w:rsidR="0071224A" w:rsidRDefault="00874ADA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сделать вывод о степени полноты и достоверности годового отчета об исполнении бюджета;</w:t>
      </w:r>
    </w:p>
    <w:p w:rsidR="0071224A" w:rsidRDefault="00874ADA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сделать вывод о соблюдении норм законодательства и бюджетных назначений, установленных решением Совета муниципального образования Апшеронский район о районном бюджете на отчетный финансовый год (отчетный финансовый год и на плановый период) (далее - решение о бюджете).</w:t>
      </w:r>
    </w:p>
    <w:p w:rsidR="0071224A" w:rsidRDefault="00874ADA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Объекты внешней проверки:</w:t>
      </w:r>
    </w:p>
    <w:p w:rsidR="0071224A" w:rsidRDefault="00874ADA">
      <w:pPr>
        <w:pStyle w:val="TableContents"/>
        <w:rPr>
          <w:sz w:val="28"/>
          <w:szCs w:val="28"/>
        </w:rPr>
      </w:pPr>
      <w:r>
        <w:rPr>
          <w:sz w:val="28"/>
          <w:szCs w:val="28"/>
        </w:rPr>
        <w:tab/>
        <w:t>1) орган, организующий исполнение бюджета (финансовый орган);</w:t>
      </w:r>
    </w:p>
    <w:p w:rsidR="0071224A" w:rsidRDefault="00874ADA">
      <w:pPr>
        <w:pStyle w:val="TableContents"/>
        <w:rPr>
          <w:sz w:val="28"/>
          <w:szCs w:val="28"/>
        </w:rPr>
      </w:pPr>
      <w:r>
        <w:rPr>
          <w:sz w:val="28"/>
          <w:szCs w:val="28"/>
        </w:rPr>
        <w:tab/>
        <w:t>2) главные администраторы доходов районного бюджета;</w:t>
      </w:r>
    </w:p>
    <w:p w:rsidR="0071224A" w:rsidRDefault="00874ADA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главные администраторы источников финансирования дефицита районного бюджета;</w:t>
      </w:r>
    </w:p>
    <w:p w:rsidR="0071224A" w:rsidRDefault="00874ADA">
      <w:pPr>
        <w:pStyle w:val="TableContents"/>
        <w:widowControl w:val="0"/>
        <w:autoSpaceDE w:val="0"/>
        <w:jc w:val="both"/>
      </w:pPr>
      <w:r>
        <w:rPr>
          <w:color w:val="000000"/>
          <w:sz w:val="28"/>
          <w:szCs w:val="28"/>
        </w:rPr>
        <w:tab/>
        <w:t>4) главные распорядители средств районного бюджета (выборочно).</w:t>
      </w:r>
    </w:p>
    <w:p w:rsidR="0071224A" w:rsidRDefault="00874ADA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Предметы внешней проверки:</w:t>
      </w:r>
    </w:p>
    <w:p w:rsidR="0071224A" w:rsidRDefault="00874ADA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бюджетная деятельность главного администратора бюджетных средств (общая характеристика, выборочные проверки);</w:t>
      </w:r>
    </w:p>
    <w:p w:rsidR="0071224A" w:rsidRDefault="00874ADA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учетная политика и организация ведения бюджетного учета (в т.ч. политика в части отчетности);</w:t>
      </w:r>
    </w:p>
    <w:p w:rsidR="0071224A" w:rsidRDefault="00874ADA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организация исполнения бюджета (условие обеспечения достоверности отчетности и соблюдения норм решения о бюджете);</w:t>
      </w:r>
    </w:p>
    <w:p w:rsidR="0071224A" w:rsidRDefault="00874ADA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организация составления отчетности (консолидация, контрольные соотношения);</w:t>
      </w:r>
    </w:p>
    <w:p w:rsidR="0071224A" w:rsidRDefault="00874ADA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организация и результаты финансового контроля (результаты мероприятий контрольно-счетного органа, иных органов финансового контроля, внутреннего контроля, инвентаризаций);</w:t>
      </w:r>
    </w:p>
    <w:p w:rsidR="0071224A" w:rsidRDefault="00874ADA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бюджетная отчетность (комплексный анализ).</w:t>
      </w:r>
    </w:p>
    <w:p w:rsidR="0071224A" w:rsidRDefault="00874ADA">
      <w:pPr>
        <w:pStyle w:val="TableContents"/>
        <w:jc w:val="both"/>
      </w:pPr>
      <w:r>
        <w:rPr>
          <w:sz w:val="28"/>
          <w:szCs w:val="28"/>
        </w:rPr>
        <w:tab/>
        <w:t>2</w:t>
      </w:r>
      <w:r>
        <w:rPr>
          <w:color w:val="000000"/>
          <w:sz w:val="28"/>
          <w:szCs w:val="28"/>
        </w:rPr>
        <w:t>.6. Проведение внешней проверки бюджетной отчетности главных администраторов бюджетных средств осуществляется в соответствии с планом, утверждаемым председателем Контрольно-счетной палаты.</w:t>
      </w:r>
    </w:p>
    <w:p w:rsidR="0071224A" w:rsidRDefault="00874ADA">
      <w:pPr>
        <w:pStyle w:val="TableContents"/>
        <w:jc w:val="both"/>
      </w:pPr>
      <w:r>
        <w:rPr>
          <w:color w:val="000000"/>
          <w:sz w:val="28"/>
          <w:szCs w:val="28"/>
        </w:rPr>
        <w:tab/>
        <w:t>2.7. Внешняя проверка годового отчета об исполнении бюджета проводится в соответствии со стандартами</w:t>
      </w:r>
      <w:r>
        <w:rPr>
          <w:color w:val="000000"/>
          <w:spacing w:val="-2"/>
          <w:sz w:val="28"/>
          <w:szCs w:val="28"/>
        </w:rPr>
        <w:t>, утвержденными распоряжениями Контрольно-счетной палаты</w:t>
      </w:r>
      <w:r>
        <w:rPr>
          <w:color w:val="000000"/>
          <w:sz w:val="28"/>
          <w:szCs w:val="28"/>
        </w:rPr>
        <w:t>.</w:t>
      </w:r>
    </w:p>
    <w:p w:rsidR="0071224A" w:rsidRDefault="00874ADA">
      <w:pPr>
        <w:pStyle w:val="Standard"/>
        <w:widowControl w:val="0"/>
        <w:autoSpaceDE w:val="0"/>
        <w:ind w:firstLine="720"/>
        <w:jc w:val="both"/>
      </w:pPr>
      <w:r>
        <w:rPr>
          <w:color w:val="000000"/>
          <w:sz w:val="28"/>
          <w:szCs w:val="28"/>
        </w:rPr>
        <w:t xml:space="preserve">2.8. При проведении внешней проверки Контрольно-счетная палата </w:t>
      </w:r>
      <w:r>
        <w:rPr>
          <w:color w:val="000000"/>
          <w:sz w:val="28"/>
          <w:szCs w:val="28"/>
        </w:rPr>
        <w:lastRenderedPageBreak/>
        <w:t>осуществляет выборочную проверку отчетности главных администраторов бюджетных средств камерально и (или) с выходом на объект.</w:t>
      </w:r>
    </w:p>
    <w:p w:rsidR="0071224A" w:rsidRDefault="00874ADA">
      <w:pPr>
        <w:pStyle w:val="Standard"/>
        <w:widowControl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широким кругом вопросов, ограниченностью сроков и ресурсов при проведении внешней проверки, в основном используются экспертно-аналитические методы с выборочной проверкой отдельных показателей и вопросов.</w:t>
      </w:r>
    </w:p>
    <w:p w:rsidR="0071224A" w:rsidRDefault="00874ADA">
      <w:pPr>
        <w:pStyle w:val="TableContents"/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2.9. Периодичность и сроки проведения внешней проверки: ежегодно до 1 мая. </w:t>
      </w:r>
    </w:p>
    <w:p w:rsidR="0071224A" w:rsidRDefault="00874ADA">
      <w:pPr>
        <w:pStyle w:val="TableContents"/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начала проведения внешней проверки бюджетной отчетности ГАБС может быть установлен начиная с даты представления ими отчетности финансовому органу. </w:t>
      </w:r>
    </w:p>
    <w:p w:rsidR="0071224A" w:rsidRDefault="00874ADA">
      <w:pPr>
        <w:pStyle w:val="TableContents"/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Главные администраторы бюджетных средств представляют бюджетную отчетность в Контрольно-счетную палату не позднее 1 марта текущего года, если иной срок представления указанной отчетности Контрольно-счетной палатой не установлен.</w:t>
      </w:r>
    </w:p>
    <w:p w:rsidR="0071224A" w:rsidRDefault="0071224A">
      <w:pPr>
        <w:pStyle w:val="Standard"/>
        <w:ind w:firstLine="720"/>
        <w:jc w:val="both"/>
        <w:rPr>
          <w:sz w:val="28"/>
          <w:szCs w:val="28"/>
        </w:rPr>
      </w:pPr>
    </w:p>
    <w:p w:rsidR="0071224A" w:rsidRDefault="00874ADA">
      <w:pPr>
        <w:pStyle w:val="Standard"/>
        <w:jc w:val="center"/>
      </w:pPr>
      <w:r>
        <w:rPr>
          <w:rStyle w:val="StrongEmphasis"/>
          <w:sz w:val="28"/>
          <w:szCs w:val="28"/>
        </w:rPr>
        <w:t>3. Оформление результатов внешней проверки</w:t>
      </w:r>
    </w:p>
    <w:p w:rsidR="0071224A" w:rsidRDefault="0071224A">
      <w:pPr>
        <w:pStyle w:val="Standard"/>
        <w:jc w:val="center"/>
      </w:pPr>
    </w:p>
    <w:p w:rsidR="0071224A" w:rsidRDefault="00874ADA">
      <w:pPr>
        <w:pStyle w:val="TableContents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Результаты внешних проверок по главным администраторам бюджетных средств используются при подготовке заключения Контрольно-счетной палаты на годовой отчет об исполнении бюджета.</w:t>
      </w:r>
    </w:p>
    <w:p w:rsidR="0071224A" w:rsidRDefault="0071224A">
      <w:pPr>
        <w:pStyle w:val="TableContents"/>
        <w:jc w:val="both"/>
        <w:rPr>
          <w:sz w:val="28"/>
          <w:szCs w:val="28"/>
        </w:rPr>
      </w:pPr>
    </w:p>
    <w:p w:rsidR="0071224A" w:rsidRDefault="00874ADA">
      <w:pPr>
        <w:pStyle w:val="TableContent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Подготовка заключения на годовой отчет </w:t>
      </w:r>
    </w:p>
    <w:p w:rsidR="0071224A" w:rsidRDefault="00874ADA">
      <w:pPr>
        <w:pStyle w:val="TableContent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бюджета</w:t>
      </w:r>
    </w:p>
    <w:p w:rsidR="0071224A" w:rsidRDefault="0071224A">
      <w:pPr>
        <w:pStyle w:val="TableContents"/>
        <w:jc w:val="center"/>
        <w:rPr>
          <w:b/>
          <w:bCs/>
          <w:sz w:val="28"/>
          <w:szCs w:val="28"/>
        </w:rPr>
      </w:pPr>
    </w:p>
    <w:p w:rsidR="0071224A" w:rsidRDefault="00874ADA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Администрация муниципального образования Апшеронский район не позднее 1 апреля текущего финансового года направляет в Контрольно-счетную палату для подготовки заключения:</w:t>
      </w:r>
    </w:p>
    <w:p w:rsidR="0071224A" w:rsidRDefault="00874ADA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годовой отчет об исполнении бюджета;</w:t>
      </w:r>
    </w:p>
    <w:p w:rsidR="0071224A" w:rsidRDefault="00874ADA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иные документы, подлежащие представлению в Совет муниципального образования Апшеронский район одновременно с годовым отчетом об исполнении бюджета.</w:t>
      </w:r>
    </w:p>
    <w:p w:rsidR="0071224A" w:rsidRDefault="00874ADA">
      <w:pPr>
        <w:pStyle w:val="Standard"/>
        <w:widowControl w:val="0"/>
        <w:tabs>
          <w:tab w:val="left" w:pos="1157"/>
        </w:tabs>
        <w:autoSpaceDE w:val="0"/>
        <w:ind w:firstLine="720"/>
        <w:jc w:val="both"/>
      </w:pPr>
      <w:r>
        <w:rPr>
          <w:color w:val="000000"/>
          <w:sz w:val="28"/>
          <w:szCs w:val="28"/>
        </w:rPr>
        <w:t>4.2. Контрольно-счетная палата готовит заключение на годовой отчет об исполнении бюджета на основании данных внешней проверки годовой бюджетной отчетности главных администраторов бюджетных средств и представляет заключение в Совет муниципального образования Апшеронский район с одновременным направлением в администрацию муниципального образования Апшеронский район.</w:t>
      </w:r>
    </w:p>
    <w:p w:rsidR="0071224A" w:rsidRDefault="00874ADA">
      <w:pPr>
        <w:pStyle w:val="Standard"/>
        <w:widowControl w:val="0"/>
        <w:tabs>
          <w:tab w:val="left" w:pos="1157"/>
        </w:tabs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Подготовка заключения на годовой отчет об исполнении бюджета проводится в срок, не превышающий один месяц.</w:t>
      </w:r>
    </w:p>
    <w:p w:rsidR="0071224A" w:rsidRDefault="00874ADA">
      <w:pPr>
        <w:pStyle w:val="Standard"/>
        <w:tabs>
          <w:tab w:val="left" w:pos="1114"/>
        </w:tabs>
        <w:autoSpaceDE w:val="0"/>
        <w:ind w:firstLine="720"/>
        <w:jc w:val="both"/>
      </w:pPr>
      <w:r>
        <w:rPr>
          <w:color w:val="000000"/>
          <w:sz w:val="28"/>
          <w:szCs w:val="28"/>
        </w:rPr>
        <w:t>4.4. В ходе осуществления внешней проверки годового отчета об исполнении бюджета Контрольно-счетная палата вправе в пределах своих полномочий запрашивать дополнительную информацию и документы у главных администраторов бюджетных средств,финансового органа администрации муниципального образования Апшеронский район.</w:t>
      </w:r>
    </w:p>
    <w:p w:rsidR="0071224A" w:rsidRDefault="00874ADA">
      <w:pPr>
        <w:pStyle w:val="Standard"/>
        <w:widowControl w:val="0"/>
        <w:tabs>
          <w:tab w:val="left" w:pos="1157"/>
        </w:tabs>
        <w:autoSpaceDE w:val="0"/>
        <w:ind w:firstLine="720"/>
        <w:jc w:val="both"/>
      </w:pPr>
      <w:r>
        <w:rPr>
          <w:color w:val="000000"/>
          <w:sz w:val="28"/>
          <w:szCs w:val="28"/>
        </w:rPr>
        <w:lastRenderedPageBreak/>
        <w:t>4.5. Главные администраторы бюджетных средств,финансовый орган администрации муниципального образования Апшеронский район обязаны предоставлять Контрольно-счетной палате необходимую информацию и документы в трехдневный срок со дня поступления запроса.</w:t>
      </w:r>
    </w:p>
    <w:p w:rsidR="0071224A" w:rsidRDefault="0071224A">
      <w:pPr>
        <w:pStyle w:val="Standard"/>
        <w:jc w:val="both"/>
        <w:rPr>
          <w:rFonts w:ascii="Tahoma" w:hAnsi="Tahoma"/>
          <w:sz w:val="28"/>
          <w:szCs w:val="28"/>
        </w:rPr>
      </w:pPr>
    </w:p>
    <w:p w:rsidR="0071224A" w:rsidRDefault="0071224A">
      <w:pPr>
        <w:pStyle w:val="Standard"/>
        <w:jc w:val="both"/>
        <w:rPr>
          <w:rFonts w:ascii="Tahoma" w:hAnsi="Tahoma"/>
          <w:sz w:val="28"/>
          <w:szCs w:val="28"/>
        </w:rPr>
      </w:pPr>
    </w:p>
    <w:p w:rsidR="0071224A" w:rsidRDefault="0071224A">
      <w:pPr>
        <w:pStyle w:val="Standard"/>
        <w:jc w:val="both"/>
        <w:rPr>
          <w:rFonts w:ascii="Tahoma" w:hAnsi="Tahoma"/>
          <w:sz w:val="28"/>
          <w:szCs w:val="28"/>
        </w:rPr>
      </w:pPr>
    </w:p>
    <w:p w:rsidR="0071224A" w:rsidRDefault="00874ADA">
      <w:pPr>
        <w:pStyle w:val="Standard"/>
        <w:jc w:val="both"/>
        <w:rPr>
          <w:sz w:val="28"/>
          <w:szCs w:val="28"/>
        </w:rPr>
      </w:pPr>
      <w:bookmarkStart w:id="0" w:name="sub_10631"/>
      <w:r>
        <w:rPr>
          <w:sz w:val="28"/>
          <w:szCs w:val="28"/>
        </w:rPr>
        <w:t>Председатель Контрольно-счетной</w:t>
      </w:r>
    </w:p>
    <w:p w:rsidR="0071224A" w:rsidRDefault="002C0F1A">
      <w:pPr>
        <w:pStyle w:val="Standard"/>
        <w:jc w:val="both"/>
      </w:pPr>
      <w:r>
        <w:rPr>
          <w:sz w:val="28"/>
          <w:szCs w:val="28"/>
        </w:rPr>
        <w:t>п</w:t>
      </w:r>
      <w:r w:rsidR="00874ADA">
        <w:rPr>
          <w:sz w:val="28"/>
          <w:szCs w:val="28"/>
        </w:rPr>
        <w:t>алаты</w:t>
      </w:r>
      <w:bookmarkStart w:id="1" w:name="sub_11221"/>
      <w:bookmarkEnd w:id="0"/>
      <w:r>
        <w:rPr>
          <w:sz w:val="28"/>
          <w:szCs w:val="28"/>
        </w:rPr>
        <w:t xml:space="preserve"> </w:t>
      </w:r>
      <w:r w:rsidR="00874ADA">
        <w:rPr>
          <w:sz w:val="28"/>
          <w:szCs w:val="28"/>
        </w:rPr>
        <w:t>муниципального образования</w:t>
      </w:r>
    </w:p>
    <w:p w:rsidR="0071224A" w:rsidRDefault="00874ADA">
      <w:pPr>
        <w:pStyle w:val="Standard"/>
      </w:pPr>
      <w:r>
        <w:rPr>
          <w:sz w:val="28"/>
          <w:szCs w:val="28"/>
        </w:rPr>
        <w:t xml:space="preserve">Апшеронский район                                                                          </w:t>
      </w:r>
      <w:bookmarkEnd w:id="1"/>
      <w:r>
        <w:rPr>
          <w:sz w:val="28"/>
          <w:szCs w:val="28"/>
        </w:rPr>
        <w:t>Е.В. Гаврияшева</w:t>
      </w:r>
    </w:p>
    <w:sectPr w:rsidR="0071224A" w:rsidSect="008F7A15">
      <w:headerReference w:type="default" r:id="rId6"/>
      <w:headerReference w:type="first" r:id="rId7"/>
      <w:pgSz w:w="11906" w:h="16838"/>
      <w:pgMar w:top="1134" w:right="567" w:bottom="1134" w:left="1701" w:header="51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B3" w:rsidRDefault="007715B3">
      <w:r>
        <w:separator/>
      </w:r>
    </w:p>
  </w:endnote>
  <w:endnote w:type="continuationSeparator" w:id="1">
    <w:p w:rsidR="007715B3" w:rsidRDefault="0077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B3" w:rsidRDefault="007715B3">
      <w:r>
        <w:rPr>
          <w:color w:val="000000"/>
        </w:rPr>
        <w:separator/>
      </w:r>
    </w:p>
  </w:footnote>
  <w:footnote w:type="continuationSeparator" w:id="1">
    <w:p w:rsidR="007715B3" w:rsidRDefault="00771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15" w:rsidRDefault="004B74A2">
    <w:pPr>
      <w:pStyle w:val="a8"/>
      <w:jc w:val="center"/>
    </w:pPr>
    <w:r>
      <w:rPr>
        <w:sz w:val="28"/>
        <w:szCs w:val="28"/>
      </w:rPr>
      <w:fldChar w:fldCharType="begin"/>
    </w:r>
    <w:r w:rsidR="00874ADA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C0F1A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15" w:rsidRDefault="008F7A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224A"/>
    <w:rsid w:val="002C0F1A"/>
    <w:rsid w:val="004B74A2"/>
    <w:rsid w:val="004F4744"/>
    <w:rsid w:val="0071224A"/>
    <w:rsid w:val="007715B3"/>
    <w:rsid w:val="00832D8E"/>
    <w:rsid w:val="00874ADA"/>
    <w:rsid w:val="008F7A15"/>
    <w:rsid w:val="00AC2387"/>
    <w:rsid w:val="00C21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15"/>
    <w:pPr>
      <w:suppressAutoHyphens/>
    </w:pPr>
  </w:style>
  <w:style w:type="paragraph" w:styleId="1">
    <w:name w:val="heading 1"/>
    <w:basedOn w:val="Standard"/>
    <w:next w:val="Standard"/>
    <w:uiPriority w:val="9"/>
    <w:qFormat/>
    <w:rsid w:val="008F7A15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0"/>
    <w:next w:val="Textbody"/>
    <w:uiPriority w:val="9"/>
    <w:unhideWhenUsed/>
    <w:qFormat/>
    <w:rsid w:val="008F7A15"/>
    <w:p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8F7A15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a0">
    <w:name w:val="Title"/>
    <w:basedOn w:val="Standard"/>
    <w:next w:val="Textbody"/>
    <w:uiPriority w:val="10"/>
    <w:qFormat/>
    <w:rsid w:val="008F7A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F7A15"/>
    <w:pPr>
      <w:spacing w:after="120"/>
    </w:pPr>
  </w:style>
  <w:style w:type="paragraph" w:styleId="a4">
    <w:name w:val="Subtitle"/>
    <w:basedOn w:val="a0"/>
    <w:next w:val="Textbody"/>
    <w:uiPriority w:val="11"/>
    <w:qFormat/>
    <w:rsid w:val="008F7A15"/>
    <w:pPr>
      <w:jc w:val="center"/>
    </w:pPr>
    <w:rPr>
      <w:i/>
      <w:iCs/>
    </w:rPr>
  </w:style>
  <w:style w:type="paragraph" w:styleId="a5">
    <w:name w:val="List"/>
    <w:basedOn w:val="Textbody"/>
    <w:rsid w:val="008F7A15"/>
    <w:rPr>
      <w:rFonts w:ascii="Arial" w:hAnsi="Arial" w:cs="Mangal"/>
    </w:rPr>
  </w:style>
  <w:style w:type="paragraph" w:styleId="a6">
    <w:name w:val="caption"/>
    <w:basedOn w:val="Standard"/>
    <w:rsid w:val="008F7A15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rsid w:val="008F7A15"/>
    <w:pPr>
      <w:suppressLineNumbers/>
    </w:pPr>
    <w:rPr>
      <w:rFonts w:ascii="Arial" w:hAnsi="Arial" w:cs="Mangal"/>
    </w:rPr>
  </w:style>
  <w:style w:type="paragraph" w:customStyle="1" w:styleId="a7">
    <w:name w:val="Комментарий"/>
    <w:basedOn w:val="Standard"/>
    <w:next w:val="Standard"/>
    <w:rsid w:val="008F7A15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styleId="a8">
    <w:name w:val="header"/>
    <w:basedOn w:val="Standard"/>
    <w:rsid w:val="008F7A15"/>
    <w:pPr>
      <w:tabs>
        <w:tab w:val="center" w:pos="4677"/>
        <w:tab w:val="right" w:pos="9355"/>
      </w:tabs>
    </w:pPr>
  </w:style>
  <w:style w:type="paragraph" w:styleId="a9">
    <w:name w:val="footer"/>
    <w:basedOn w:val="Standard"/>
    <w:rsid w:val="008F7A15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8F7A15"/>
    <w:pPr>
      <w:suppressLineNumbers/>
    </w:pPr>
  </w:style>
  <w:style w:type="paragraph" w:customStyle="1" w:styleId="TableHeading">
    <w:name w:val="Table Heading"/>
    <w:basedOn w:val="TableContents"/>
    <w:rsid w:val="008F7A15"/>
    <w:pPr>
      <w:jc w:val="center"/>
    </w:pPr>
    <w:rPr>
      <w:b/>
      <w:bCs/>
    </w:rPr>
  </w:style>
  <w:style w:type="character" w:styleId="aa">
    <w:name w:val="page number"/>
    <w:basedOn w:val="a1"/>
    <w:rsid w:val="008F7A15"/>
  </w:style>
  <w:style w:type="character" w:customStyle="1" w:styleId="ab">
    <w:name w:val="Не вступил в силу"/>
    <w:basedOn w:val="a1"/>
    <w:rsid w:val="008F7A15"/>
    <w:rPr>
      <w:color w:val="008080"/>
    </w:rPr>
  </w:style>
  <w:style w:type="character" w:customStyle="1" w:styleId="ac">
    <w:name w:val="Цветовое выделение"/>
    <w:rsid w:val="008F7A15"/>
    <w:rPr>
      <w:b/>
      <w:bCs/>
      <w:color w:val="000080"/>
    </w:rPr>
  </w:style>
  <w:style w:type="character" w:customStyle="1" w:styleId="ad">
    <w:name w:val="Гипертекстовая ссылка"/>
    <w:basedOn w:val="ac"/>
    <w:rsid w:val="008F7A15"/>
    <w:rPr>
      <w:b/>
      <w:bCs/>
      <w:color w:val="008000"/>
    </w:rPr>
  </w:style>
  <w:style w:type="character" w:customStyle="1" w:styleId="Internetlink">
    <w:name w:val="Internet link"/>
    <w:rsid w:val="008F7A15"/>
    <w:rPr>
      <w:color w:val="000080"/>
      <w:u w:val="single"/>
    </w:rPr>
  </w:style>
  <w:style w:type="character" w:customStyle="1" w:styleId="NumberingSymbols">
    <w:name w:val="Numbering Symbols"/>
    <w:rsid w:val="008F7A15"/>
  </w:style>
  <w:style w:type="character" w:customStyle="1" w:styleId="BulletSymbols">
    <w:name w:val="Bullet Symbols"/>
    <w:rsid w:val="008F7A15"/>
    <w:rPr>
      <w:rFonts w:ascii="OpenSymbol" w:eastAsia="OpenSymbol" w:hAnsi="OpenSymbol" w:cs="OpenSymbol"/>
    </w:rPr>
  </w:style>
  <w:style w:type="character" w:customStyle="1" w:styleId="StrongEmphasis">
    <w:name w:val="Strong Emphasis"/>
    <w:rsid w:val="008F7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Nikitenko</dc:creator>
  <cp:lastModifiedBy>User</cp:lastModifiedBy>
  <cp:revision>4</cp:revision>
  <cp:lastPrinted>2024-01-17T12:54:00Z</cp:lastPrinted>
  <dcterms:created xsi:type="dcterms:W3CDTF">2024-02-08T08:25:00Z</dcterms:created>
  <dcterms:modified xsi:type="dcterms:W3CDTF">2024-02-15T14:18:00Z</dcterms:modified>
</cp:coreProperties>
</file>